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8782E" w14:textId="73A3BC67" w:rsidR="00A30AC4" w:rsidRPr="00A30AC4" w:rsidRDefault="00D843A4" w:rsidP="00A30AC4">
      <w:pPr>
        <w:pStyle w:val="RH1"/>
        <w:spacing w:before="580"/>
      </w:pPr>
      <w:r>
        <w:t>@</w:t>
      </w:r>
      <w:proofErr w:type="spellStart"/>
      <w:r>
        <w:t>NTX</w:t>
      </w:r>
      <w:proofErr w:type="gramStart"/>
      <w:r>
        <w:t>:</w:t>
      </w:r>
      <w:r w:rsidR="0032266F">
        <w:t>Chapter</w:t>
      </w:r>
      <w:proofErr w:type="spellEnd"/>
      <w:proofErr w:type="gramEnd"/>
      <w:r w:rsidR="0032266F">
        <w:t xml:space="preserve"> </w:t>
      </w:r>
      <w:r w:rsidR="00A30AC4">
        <w:t xml:space="preserve">7 </w:t>
      </w:r>
      <w:r w:rsidR="00A30AC4" w:rsidRPr="00A30AC4">
        <w:t>References</w:t>
      </w:r>
    </w:p>
    <w:p w14:paraId="1C573596" w14:textId="76C173C9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Abernethy, B., Baker, J., &amp;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Côté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>, J. (2005). Transfer of pattern recall skills may contribute to the development of sport expertise. </w:t>
      </w:r>
      <w:bookmarkStart w:id="0" w:name="_GoBack"/>
      <w:bookmarkEnd w:id="0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Applied Cognitive Psychology</w:t>
      </w:r>
      <w:r w:rsidRPr="00A30AC4">
        <w:rPr>
          <w:rFonts w:ascii="BemboStd" w:hAnsi="BemboStd" w:cs="BemboStd"/>
          <w:color w:val="000000"/>
          <w:w w:val="95"/>
          <w:u w:color="000000"/>
        </w:rPr>
        <w:t>, 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19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(6), 705</w:t>
      </w:r>
      <w:r w:rsidR="00DC562C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718.</w:t>
      </w:r>
    </w:p>
    <w:p w14:paraId="58AF69CC" w14:textId="3C26F5D6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Caine, D.,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DiFiori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J., &amp;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Maffulli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N. (2006).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Physeal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 injuries i</w:t>
      </w:r>
      <w:r w:rsidR="00525AD4">
        <w:rPr>
          <w:rFonts w:ascii="BemboStd" w:hAnsi="BemboStd" w:cs="BemboStd"/>
          <w:color w:val="000000"/>
          <w:w w:val="95"/>
          <w:u w:color="000000"/>
        </w:rPr>
        <w:t>n children’s and youth sports: Reasons for concern?</w:t>
      </w:r>
      <w:r w:rsidRPr="00A30AC4">
        <w:rPr>
          <w:rFonts w:ascii="BemboStd" w:hAnsi="BemboStd" w:cs="BemboStd"/>
          <w:color w:val="000000"/>
          <w:w w:val="95"/>
          <w:u w:color="000000"/>
        </w:rPr>
        <w:t> 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British journal of sports medicine</w:t>
      </w:r>
      <w:r w:rsidRPr="00A30AC4">
        <w:rPr>
          <w:rFonts w:ascii="BemboStd" w:hAnsi="BemboStd" w:cs="BemboStd"/>
          <w:color w:val="000000"/>
          <w:w w:val="95"/>
          <w:u w:color="000000"/>
        </w:rPr>
        <w:t>, 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40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(9), 749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760.</w:t>
      </w:r>
    </w:p>
    <w:p w14:paraId="5C7A9AB0" w14:textId="6BA5FAA1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>D’Arcy, Y. M. (2011). 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Compact clinical guide to acute pain management: an evidence-based approach for nurses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. </w:t>
      </w:r>
      <w:r w:rsidR="00525AD4">
        <w:rPr>
          <w:rFonts w:ascii="BemboStd" w:hAnsi="BemboStd" w:cs="BemboStd"/>
          <w:color w:val="000000"/>
          <w:w w:val="95"/>
          <w:u w:color="000000"/>
        </w:rPr>
        <w:t xml:space="preserve">York: </w:t>
      </w:r>
      <w:r w:rsidRPr="00A30AC4">
        <w:rPr>
          <w:rFonts w:ascii="BemboStd" w:hAnsi="BemboStd" w:cs="BemboStd"/>
          <w:color w:val="000000"/>
          <w:w w:val="95"/>
          <w:u w:color="000000"/>
        </w:rPr>
        <w:t>Springer Publishing Company.</w:t>
      </w:r>
    </w:p>
    <w:p w14:paraId="6ED9A2B4" w14:textId="0D0E1BA8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DiFiori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J. P., Benjamin, H. J., Brenner, J. S., Gregory, A., Jayanthi, N., Landry, G. L., &amp; Luke, A. (2014). Overuse injuries and burnout in youth sports: a position statement from the American Medical Society for Sports Medicine.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Br J Sports Med, 48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(4), 287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288. doi:10.1136/bjsports-2013-093299</w:t>
      </w:r>
    </w:p>
    <w:p w14:paraId="2E43C80E" w14:textId="68ABA2CC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DiFiori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J. P., Caine, D. J., &amp;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Malina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R. M. (2006). Wrist pain, distal radial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physeal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 injury, and ulnar variance in the young gymnast.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Am J Sports Med, 34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(5), 840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849. doi:10.1177/0363546505284848</w:t>
      </w:r>
    </w:p>
    <w:p w14:paraId="795E93E1" w14:textId="33EC96A2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Galer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B. S.,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Rowbotham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M.,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Perander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>, J., Devers, A., &amp; Friedman, E. (2000). Topical diclofenac patch reli</w:t>
      </w:r>
      <w:r w:rsidR="00525AD4">
        <w:rPr>
          <w:rFonts w:ascii="BemboStd" w:hAnsi="BemboStd" w:cs="BemboStd"/>
          <w:color w:val="000000"/>
          <w:w w:val="95"/>
          <w:u w:color="000000"/>
        </w:rPr>
        <w:t>eves minor sports injury pain: R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esults of a multicenter controlled clinical trial.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J Pain Symptom Manage, 19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(4), 287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294. </w:t>
      </w:r>
    </w:p>
    <w:p w14:paraId="3C5C13ED" w14:textId="53260682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Hauser, R. A.,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Lackner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J. B.,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Steilen-Matias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>,</w:t>
      </w:r>
      <w:r w:rsidR="00525AD4">
        <w:rPr>
          <w:rFonts w:ascii="BemboStd" w:hAnsi="BemboStd" w:cs="BemboStd"/>
          <w:color w:val="000000"/>
          <w:w w:val="95"/>
          <w:u w:color="000000"/>
        </w:rPr>
        <w:t xml:space="preserve"> D., &amp; Harris, D. K. (2016). A systematic review of dextrose prolotherapy for chronic musculoskeletal p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ain. </w:t>
      </w:r>
      <w:proofErr w:type="spell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Clin</w:t>
      </w:r>
      <w:proofErr w:type="spellEnd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Med Insights Arthritis </w:t>
      </w:r>
      <w:proofErr w:type="spell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Musculoskelet</w:t>
      </w:r>
      <w:proofErr w:type="spellEnd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Disord</w:t>
      </w:r>
      <w:proofErr w:type="spellEnd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9</w:t>
      </w:r>
      <w:r w:rsidRPr="00A30AC4">
        <w:rPr>
          <w:rFonts w:ascii="BemboStd" w:hAnsi="BemboStd" w:cs="BemboStd"/>
          <w:color w:val="000000"/>
          <w:w w:val="95"/>
          <w:u w:color="000000"/>
        </w:rPr>
        <w:t>, 139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159. doi:10.4137/CMAMD.S39160</w:t>
      </w:r>
    </w:p>
    <w:p w14:paraId="79DAC9C1" w14:textId="77777777" w:rsidR="00525AD4" w:rsidRPr="00A30AC4" w:rsidRDefault="00525AD4" w:rsidP="00525AD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How much physical activity do children need? Centers for Disease Control and Prevention 2008. www.cdc.gov/physicalactivity/everyone/guidelines/children.html (Accessed on July 28, 2009). </w:t>
      </w:r>
    </w:p>
    <w:p w14:paraId="3375483C" w14:textId="1827EFAD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>Jayanthi, N., Pinkham, C., Dugas, L., Patrick, B., &amp; Labella, C. (2013). Sports spe</w:t>
      </w:r>
      <w:r w:rsidR="00525AD4">
        <w:rPr>
          <w:rFonts w:ascii="BemboStd" w:hAnsi="BemboStd" w:cs="BemboStd"/>
          <w:color w:val="000000"/>
          <w:w w:val="95"/>
          <w:u w:color="000000"/>
        </w:rPr>
        <w:t>cialization in young athletes: E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vidence-based recommendations.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Sports Health, 5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(3), 251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257. doi:10.1177/1941738112464626</w:t>
      </w:r>
    </w:p>
    <w:p w14:paraId="3560F72C" w14:textId="7BAE5AC8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Luke, A., Lazaro, R. M., Bergeron, M. F., Keyser, L., Benjamin, H., Brenner, J., . . . Smith, A. (2011). Sports-related injuries in youth athletes: is overscheduling a risk factor? </w:t>
      </w:r>
      <w:proofErr w:type="spell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Clin</w:t>
      </w:r>
      <w:proofErr w:type="spellEnd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J Sport Med, 21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(4), 307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314. doi:10.1097/JSM.0b013e3182218f71</w:t>
      </w:r>
    </w:p>
    <w:p w14:paraId="63F71080" w14:textId="537ADC7B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McCarberg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B., &amp; D’Arcy, Y. (2013). Options in topical therapies in the management of patients with acute pain.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Postgrad Med, 125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(4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Suppl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 1), 19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24. doi:10.1080/00325481.2013.1110567011</w:t>
      </w:r>
    </w:p>
    <w:p w14:paraId="1840DD36" w14:textId="7EDA014C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Schwellnus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M.,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Soligard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T., Alonso, J. M., Bahr, R.,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Clarsen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B., Dijkstra, H. P., . . .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Engebretsen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L. (2016a). How much is too much? (Part 2) </w:t>
      </w:r>
      <w:proofErr w:type="gramStart"/>
      <w:r w:rsidRPr="00A30AC4">
        <w:rPr>
          <w:rFonts w:ascii="BemboStd" w:hAnsi="BemboStd" w:cs="BemboStd"/>
          <w:color w:val="000000"/>
          <w:w w:val="95"/>
          <w:u w:color="000000"/>
        </w:rPr>
        <w:t>International Olympic Committee consensus statement on load in sport and risk of illness.</w:t>
      </w:r>
      <w:proofErr w:type="gramEnd"/>
      <w:r w:rsidR="00525AD4" w:rsidRPr="00525AD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Br J Sports Med, 50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(17), 1043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1052. doi:10.1136/bjsports-2016-096572</w:t>
      </w:r>
    </w:p>
    <w:p w14:paraId="0B732AE0" w14:textId="5993E07C" w:rsidR="00A30AC4" w:rsidRPr="00A30AC4" w:rsidRDefault="00A30AC4" w:rsidP="00A30AC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A30AC4">
        <w:rPr>
          <w:rFonts w:ascii="BemboStd" w:hAnsi="BemboStd" w:cs="BemboStd"/>
          <w:color w:val="000000"/>
          <w:w w:val="95"/>
          <w:u w:color="000000"/>
        </w:rPr>
        <w:t xml:space="preserve">Strong, W. B.,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Malina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R. M., Blimkie, C. J., Daniels, S. R., Dishman, R. K., </w:t>
      </w: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Gutin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>, B., . . . Trudeau, F. (2005). Evidence based physical activity for school-age youth.</w:t>
      </w:r>
      <w:r w:rsidR="00525AD4" w:rsidRPr="00525AD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</w:t>
      </w:r>
      <w:proofErr w:type="spell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Pediatr</w:t>
      </w:r>
      <w:proofErr w:type="spellEnd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146</w:t>
      </w:r>
      <w:r w:rsidR="00525AD4" w:rsidRPr="00A30AC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A30AC4">
        <w:rPr>
          <w:rFonts w:ascii="BemboStd" w:hAnsi="BemboStd" w:cs="BemboStd"/>
          <w:color w:val="000000"/>
          <w:w w:val="95"/>
          <w:u w:color="000000"/>
        </w:rPr>
        <w:t>(6), 732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737. </w:t>
      </w:r>
      <w:proofErr w:type="gramStart"/>
      <w:r w:rsidRPr="00A30AC4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A30AC4">
        <w:rPr>
          <w:rFonts w:ascii="BemboStd" w:hAnsi="BemboStd" w:cs="BemboStd"/>
          <w:color w:val="000000"/>
          <w:w w:val="95"/>
          <w:u w:color="000000"/>
        </w:rPr>
        <w:t>/j.jpeds.2005.01.055</w:t>
      </w:r>
    </w:p>
    <w:p w14:paraId="47325012" w14:textId="43A4B267" w:rsidR="00525AD4" w:rsidRPr="00A30AC4" w:rsidRDefault="00525AD4" w:rsidP="00525AD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>
        <w:rPr>
          <w:rFonts w:ascii="BemboStd" w:hAnsi="BemboStd" w:cs="BemboStd"/>
          <w:color w:val="000000"/>
          <w:w w:val="95"/>
          <w:u w:color="000000"/>
        </w:rPr>
        <w:t>Wall, E. J. (1997). Growth plate overuse syndrome o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f </w:t>
      </w:r>
      <w:proofErr w:type="gramStart"/>
      <w:r w:rsidRPr="00A30AC4">
        <w:rPr>
          <w:rFonts w:ascii="BemboStd" w:hAnsi="BemboStd" w:cs="BemboStd"/>
          <w:color w:val="000000"/>
          <w:w w:val="95"/>
          <w:u w:color="000000"/>
        </w:rPr>
        <w:t>T</w:t>
      </w:r>
      <w:r>
        <w:rPr>
          <w:rFonts w:ascii="BemboStd" w:hAnsi="BemboStd" w:cs="BemboStd"/>
          <w:color w:val="000000"/>
          <w:w w:val="95"/>
          <w:u w:color="000000"/>
        </w:rPr>
        <w:t>he</w:t>
      </w:r>
      <w:proofErr w:type="gramEnd"/>
      <w:r>
        <w:rPr>
          <w:rFonts w:ascii="BemboStd" w:hAnsi="BemboStd" w:cs="BemboStd"/>
          <w:color w:val="000000"/>
          <w:w w:val="95"/>
          <w:u w:color="000000"/>
        </w:rPr>
        <w:t xml:space="preserve"> ankle in a</w:t>
      </w:r>
      <w:r w:rsidRPr="00A30AC4">
        <w:rPr>
          <w:rFonts w:ascii="BemboStd" w:hAnsi="BemboStd" w:cs="BemboStd"/>
          <w:color w:val="000000"/>
          <w:w w:val="95"/>
          <w:u w:color="000000"/>
        </w:rPr>
        <w:t>thletes 1703. </w:t>
      </w:r>
      <w:proofErr w:type="gramStart"/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Medicine &amp; Science in Sports &amp; Exercise</w:t>
      </w:r>
      <w:r w:rsidRPr="00A30AC4">
        <w:rPr>
          <w:rFonts w:ascii="BemboStd" w:hAnsi="BemboStd" w:cs="BemboStd"/>
          <w:color w:val="000000"/>
          <w:w w:val="95"/>
          <w:u w:color="000000"/>
        </w:rPr>
        <w:t>, 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29</w:t>
      </w:r>
      <w:r w:rsidRPr="00A30AC4">
        <w:rPr>
          <w:rFonts w:ascii="BemboStd" w:hAnsi="BemboStd" w:cs="BemboStd"/>
          <w:color w:val="000000"/>
          <w:w w:val="95"/>
          <w:u w:color="000000"/>
        </w:rPr>
        <w:t xml:space="preserve"> (5), 299.</w:t>
      </w:r>
      <w:proofErr w:type="gramEnd"/>
    </w:p>
    <w:p w14:paraId="231F7FF1" w14:textId="26B0F663" w:rsidR="00222570" w:rsidRPr="00525AD4" w:rsidRDefault="00A30AC4" w:rsidP="00525AD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A30AC4">
        <w:rPr>
          <w:rFonts w:ascii="BemboStd" w:hAnsi="BemboStd" w:cs="BemboStd"/>
          <w:color w:val="000000"/>
          <w:w w:val="95"/>
          <w:u w:color="000000"/>
        </w:rPr>
        <w:t>Winsley</w:t>
      </w:r>
      <w:proofErr w:type="spellEnd"/>
      <w:r w:rsidRPr="00A30AC4">
        <w:rPr>
          <w:rFonts w:ascii="BemboStd" w:hAnsi="BemboStd" w:cs="BemboStd"/>
          <w:color w:val="000000"/>
          <w:w w:val="95"/>
          <w:u w:color="000000"/>
        </w:rPr>
        <w:t xml:space="preserve">, R., &amp; Matos, N. (2011a). Overtraining and elite young athletes. </w:t>
      </w:r>
      <w:r w:rsidRPr="00A30AC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Med Sport Sci, 56</w:t>
      </w:r>
      <w:r w:rsidRPr="00A30AC4">
        <w:rPr>
          <w:rFonts w:ascii="BemboStd" w:hAnsi="BemboStd" w:cs="BemboStd"/>
          <w:color w:val="000000"/>
          <w:w w:val="95"/>
          <w:u w:color="000000"/>
        </w:rPr>
        <w:t>, 97</w:t>
      </w:r>
      <w:r w:rsidR="00525AD4">
        <w:rPr>
          <w:rFonts w:ascii="BemboStd" w:hAnsi="BemboStd" w:cs="BemboStd"/>
          <w:color w:val="000000"/>
          <w:w w:val="95"/>
          <w:u w:color="000000"/>
        </w:rPr>
        <w:t>–</w:t>
      </w:r>
      <w:r w:rsidRPr="00A30AC4">
        <w:rPr>
          <w:rFonts w:ascii="BemboStd" w:hAnsi="BemboStd" w:cs="BemboStd"/>
          <w:color w:val="000000"/>
          <w:w w:val="95"/>
          <w:u w:color="000000"/>
        </w:rPr>
        <w:t>105. doi:10.1159/000320636</w:t>
      </w:r>
    </w:p>
    <w:sectPr w:rsidR="00222570" w:rsidRPr="00525AD4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222570"/>
    <w:rsid w:val="00223696"/>
    <w:rsid w:val="002736EE"/>
    <w:rsid w:val="0032266F"/>
    <w:rsid w:val="00525AD4"/>
    <w:rsid w:val="005B1D4E"/>
    <w:rsid w:val="007E5534"/>
    <w:rsid w:val="009A156E"/>
    <w:rsid w:val="00A30AC4"/>
    <w:rsid w:val="00A71347"/>
    <w:rsid w:val="00C22009"/>
    <w:rsid w:val="00C84433"/>
    <w:rsid w:val="00D0213C"/>
    <w:rsid w:val="00D843A4"/>
    <w:rsid w:val="00DC562C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527</Words>
  <Characters>2591</Characters>
  <Application>Microsoft Macintosh Word</Application>
  <DocSecurity>0</DocSecurity>
  <Lines>66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3</cp:revision>
  <dcterms:created xsi:type="dcterms:W3CDTF">2017-06-09T02:32:00Z</dcterms:created>
  <dcterms:modified xsi:type="dcterms:W3CDTF">2017-07-20T23:31:00Z</dcterms:modified>
</cp:coreProperties>
</file>